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3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341"/>
        <w:gridCol w:w="8223"/>
        <w:gridCol w:w="1079"/>
      </w:tblGrid>
      <w:tr w:rsidR="003D292C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Monats-Checkliste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Fibu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-Unterlagen</w:t>
            </w:r>
          </w:p>
        </w:tc>
      </w:tr>
      <w:tr w:rsidR="003D292C">
        <w:trPr>
          <w:trHeight w:val="389"/>
        </w:trPr>
        <w:tc>
          <w:tcPr>
            <w:tcW w:w="341" w:type="dxa"/>
            <w:tcMar>
              <w:top w:w="55" w:type="dxa"/>
              <w:bottom w:w="55" w:type="dxa"/>
            </w:tcMar>
          </w:tcPr>
          <w:p w:rsidR="003D292C" w:rsidRDefault="003D292C">
            <w:pPr>
              <w:spacing w:line="240" w:lineRule="auto"/>
            </w:pPr>
          </w:p>
        </w:tc>
        <w:tc>
          <w:tcPr>
            <w:tcW w:w="8223" w:type="dxa"/>
            <w:tcMar>
              <w:top w:w="55" w:type="dxa"/>
              <w:bottom w:w="55" w:type="dxa"/>
            </w:tcMar>
          </w:tcPr>
          <w:p w:rsidR="003D292C" w:rsidRDefault="003D292C">
            <w:pPr>
              <w:spacing w:line="240" w:lineRule="auto"/>
            </w:pPr>
          </w:p>
        </w:tc>
        <w:tc>
          <w:tcPr>
            <w:tcW w:w="1079" w:type="dxa"/>
            <w:tcMar>
              <w:top w:w="55" w:type="dxa"/>
              <w:bottom w:w="55" w:type="dxa"/>
            </w:tcMar>
          </w:tcPr>
          <w:p w:rsidR="003D292C" w:rsidRDefault="003D292C">
            <w:pPr>
              <w:spacing w:line="240" w:lineRule="auto"/>
            </w:pPr>
          </w:p>
        </w:tc>
      </w:tr>
      <w:tr w:rsidR="003D292C">
        <w:tc>
          <w:tcPr>
            <w:tcW w:w="8564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Einzustellen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Monat:</w:t>
            </w:r>
          </w:p>
        </w:tc>
      </w:tr>
      <w:tr w:rsidR="003D292C">
        <w:trPr>
          <w:trHeight w:val="395"/>
        </w:trPr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75pt;height:15pt" o:ole="">
                  <v:imagedata r:id="rId7" o:title=""/>
                </v:shape>
                <w:control r:id="rId8" w:name="Numerisches Feld 2" w:shapeid="_x0000_i1091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202</w:t>
            </w: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89" type="#_x0000_t75" style="width:20.75pt;height:15pt" o:ole="">
                  <v:imagedata r:id="rId7" o:title=""/>
                </v:shape>
                <w:control r:id="rId9" w:name="Numerisches Feld 21" w:shapeid="_x0000_i1089"/>
              </w:object>
            </w:r>
          </w:p>
        </w:tc>
      </w:tr>
      <w:tr w:rsidR="003D292C">
        <w:trPr>
          <w:trHeight w:val="49"/>
        </w:trPr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rPr>
          <w:trHeight w:val="49"/>
        </w:trPr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Alle Ausgangsrechnungen in DATEV unternehmen online (Duo) einstellen (Rechnungs</w:t>
            </w:r>
            <w:r>
              <w:rPr>
                <w:rFonts w:ascii="Arial" w:hAnsi="Arial"/>
                <w:sz w:val="20"/>
                <w:szCs w:val="20"/>
              </w:rPr>
              <w:softHyphen/>
              <w:t>da</w:t>
            </w:r>
            <w:r>
              <w:rPr>
                <w:rFonts w:ascii="Arial" w:hAnsi="Arial"/>
                <w:sz w:val="20"/>
                <w:szCs w:val="20"/>
              </w:rPr>
              <w:softHyphen/>
              <w:t>tum des Monats / unabhängig vom Zahlungsdatum)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90" type="#_x0000_t75" style="width:6.9pt;height:15pt" o:ole="">
                  <v:imagedata r:id="rId10" o:title=""/>
                </v:shape>
                <w:control r:id="rId11" w:name="unnamed0" w:shapeid="_x0000_i1090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alle </w:t>
            </w:r>
            <w:r>
              <w:rPr>
                <w:rFonts w:ascii="Arial" w:hAnsi="Arial"/>
                <w:sz w:val="20"/>
                <w:szCs w:val="20"/>
              </w:rPr>
              <w:t>Eingangsrechnungen des Monats in Unternehmen online einstellen (auch unabhängig vom Zahlungsdatum)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63" type="#_x0000_t75" style="width:6.9pt;height:15pt" o:ole="">
                  <v:imagedata r:id="rId10" o:title=""/>
                </v:shape>
                <w:control r:id="rId12" w:name="unnamed1" w:shapeid="_x0000_i1063"/>
              </w:object>
            </w:r>
          </w:p>
        </w:tc>
      </w:tr>
      <w:tr w:rsidR="003D292C">
        <w:trPr>
          <w:trHeight w:val="1"/>
        </w:trPr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Barbelege / Handquittung (z.B. Tankbelege)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65" type="#_x0000_t75" style="width:6.9pt;height:15pt" o:ole="">
                  <v:imagedata r:id="rId10" o:title=""/>
                </v:shape>
                <w:control r:id="rId13" w:name="unnamed2" w:shapeid="_x0000_i1065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Kreditkartenabrechnungen (Haupt- und Unterkarten)</w:t>
            </w:r>
          </w:p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Umsätze von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Sumup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Stripe,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Shopify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Amazon-Pay, Unzer usw.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67" type="#_x0000_t75" style="width:6.9pt;height:15pt" o:ole="">
                  <v:imagedata r:id="rId10" o:title=""/>
                </v:shape>
                <w:control r:id="rId14" w:name="unnamed3" w:shapeid="_x0000_i1067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Anlagen zu Kontoabschlüssen (Zinsen/Kontoführungsgebühren), Bankkredite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69" type="#_x0000_t75" style="width:6.9pt;height:15pt" o:ole="">
                  <v:imagedata r:id="rId10" o:title=""/>
                </v:shape>
                <w:control r:id="rId15" w:name="unnamed4" w:shapeid="_x0000_i1069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Duo Kassenbuch oder Kassenblätter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pdf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oder Excel)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71" type="#_x0000_t75" style="width:6.9pt;height:15pt" o:ole="">
                  <v:imagedata r:id="rId10" o:title=""/>
                </v:shape>
                <w:control r:id="rId16" w:name="unnamed5" w:shapeid="_x0000_i1071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neue Dauerverträge (z.B. Leasing-, Mietverträge, Versicherungen)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73" type="#_x0000_t75" style="width:6.9pt;height:15pt" o:ole="">
                  <v:imagedata r:id="rId10" o:title=""/>
                </v:shape>
                <w:control r:id="rId17" w:name="unnamed6" w:shapeid="_x0000_i1073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Quittungen über </w:t>
            </w:r>
            <w:r>
              <w:rPr>
                <w:rFonts w:ascii="Arial" w:hAnsi="Arial"/>
                <w:sz w:val="20"/>
                <w:szCs w:val="20"/>
              </w:rPr>
              <w:t>bar bezahlte Lohnabrechnungen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75" type="#_x0000_t75" style="width:6.9pt;height:15pt" o:ole="">
                  <v:imagedata r:id="rId10" o:title=""/>
                </v:shape>
                <w:control r:id="rId18" w:name="unnamed7" w:shapeid="_x0000_i1075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Ratenzahlungsvereinbarungen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77" type="#_x0000_t75" style="width:6.9pt;height:15pt" o:ole="">
                  <v:imagedata r:id="rId10" o:title=""/>
                </v:shape>
                <w:control r:id="rId19" w:name="unnamed8" w:shapeid="_x0000_i1077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Zahlungsavise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79" type="#_x0000_t75" style="width:6.9pt;height:15pt" o:ole="">
                  <v:imagedata r:id="rId10" o:title=""/>
                </v:shape>
                <w:control r:id="rId20" w:name="unnamed9" w:shapeid="_x0000_i1079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856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ind w:left="57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Zu bearbeiten</w:t>
            </w:r>
          </w:p>
          <w:p w:rsidR="003D292C" w:rsidRDefault="003D292C">
            <w:pPr>
              <w:spacing w:line="240" w:lineRule="auto"/>
              <w:ind w:left="57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Bankkontoumsätze in Duo aktualisieren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81" type="#_x0000_t75" style="width:6.9pt;height:15pt" o:ole="">
                  <v:imagedata r:id="rId10" o:title=""/>
                </v:shape>
                <w:control r:id="rId21" w:name="unnamed10" w:shapeid="_x0000_i1081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Bearbeiten der unklaren Posten des Vormonats (Bestandteil des letzten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Reportings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83" type="#_x0000_t75" style="width:6.9pt;height:15pt" o:ole="">
                  <v:imagedata r:id="rId10" o:title=""/>
                </v:shape>
                <w:control r:id="rId22" w:name="unnamed11" w:shapeid="_x0000_i1083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numPr>
                <w:ilvl w:val="0"/>
                <w:numId w:val="2"/>
              </w:numPr>
              <w:spacing w:line="240" w:lineRule="auto"/>
              <w:ind w:left="283" w:hanging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Konto </w:t>
            </w:r>
            <w:r>
              <w:rPr>
                <w:rFonts w:ascii="Arial" w:hAnsi="Arial"/>
                <w:sz w:val="20"/>
                <w:szCs w:val="20"/>
              </w:rPr>
              <w:t>1591, ggf. auch Konten 1590 und 1592 (Ausdrucken, handschriftlich ergänzen/ kommentieren, scannen und wieder einstellen)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Bearbeiten der offenen Posten des Vormonats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85" type="#_x0000_t75" style="width:6.9pt;height:15pt" o:ole="">
                  <v:imagedata r:id="rId10" o:title=""/>
                </v:shape>
                <w:control r:id="rId23" w:name="unnamed12" w:shapeid="_x0000_i1085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numPr>
                <w:ilvl w:val="0"/>
                <w:numId w:val="2"/>
              </w:numPr>
              <w:spacing w:line="240" w:lineRule="auto"/>
              <w:ind w:left="283" w:hanging="170"/>
            </w:pPr>
            <w:r>
              <w:rPr>
                <w:rFonts w:ascii="Arial" w:hAnsi="Arial"/>
                <w:sz w:val="20"/>
                <w:szCs w:val="20"/>
              </w:rPr>
              <w:t xml:space="preserve">Debitoren prüfen auf Langläufer oder Uneinbringlichkeit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</w:t>
            </w:r>
            <w:r>
              <w:rPr>
                <w:rFonts w:ascii="Arial" w:hAnsi="Arial"/>
                <w:sz w:val="20"/>
                <w:szCs w:val="20"/>
              </w:rPr>
              <w:t> Mahnverfahren beginnen</w:t>
            </w:r>
          </w:p>
          <w:p w:rsidR="003D292C" w:rsidRDefault="0022245B">
            <w:pPr>
              <w:numPr>
                <w:ilvl w:val="0"/>
                <w:numId w:val="2"/>
              </w:numPr>
              <w:spacing w:line="240" w:lineRule="auto"/>
              <w:ind w:left="283" w:hanging="170"/>
            </w:pPr>
            <w:r>
              <w:rPr>
                <w:rFonts w:ascii="Arial" w:hAnsi="Arial"/>
                <w:sz w:val="20"/>
                <w:szCs w:val="20"/>
              </w:rPr>
              <w:t>Kreditoren prüfen: Sind in der OP-Liste Rechnungen vorhanden, die schon beglichen sind? Wenn ja, wann und worüber?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Eigenbelege (ohne Vorsteuerabzug) erstellen oder Vermerk auf Kontoblatt Vormonat mit Wiedereinstellung in Duo</w:t>
            </w:r>
          </w:p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225" w:dyaOrig="225">
                <v:shape id="_x0000_i1087" type="#_x0000_t75" style="width:6.9pt;height:15pt" o:ole="">
                  <v:imagedata r:id="rId10" o:title=""/>
                </v:shape>
                <w:control r:id="rId24" w:name="unnamed13" w:shapeid="_x0000_i1087"/>
              </w:object>
            </w: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856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ind w:left="57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Hinweise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Scaneinstellungen 300 dpi,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pdf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schwarz-weiß, eine Datei pro Beleg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22245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Auftragsbestätigungen, EC-Karten-Kundenbelege, Lieferscheine oder </w:t>
            </w:r>
            <w:r>
              <w:rPr>
                <w:rFonts w:ascii="Arial" w:hAnsi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Proforma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-Rechnungen“ sind keine Rechnungen im Sinne eines Belegs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292C"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92C" w:rsidRDefault="003D292C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D292C" w:rsidRDefault="003D292C"/>
    <w:sectPr w:rsidR="003D292C">
      <w:headerReference w:type="default" r:id="rId25"/>
      <w:footerReference w:type="default" r:id="rId26"/>
      <w:pgSz w:w="11906" w:h="16838"/>
      <w:pgMar w:top="1417" w:right="1417" w:bottom="1134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245B" w:rsidRDefault="0022245B">
      <w:pPr>
        <w:spacing w:line="240" w:lineRule="auto"/>
      </w:pPr>
      <w:r>
        <w:separator/>
      </w:r>
    </w:p>
  </w:endnote>
  <w:endnote w:type="continuationSeparator" w:id="0">
    <w:p w:rsidR="0022245B" w:rsidRDefault="00222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292C" w:rsidRDefault="0022245B">
    <w:pPr>
      <w:pStyle w:val="Fuzeile"/>
      <w:rPr>
        <w:rFonts w:ascii="Arial" w:hAnsi="Arial" w:cs="Arial"/>
        <w:sz w:val="16"/>
      </w:rPr>
    </w:pPr>
    <w:hyperlink r:id="rId1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128905</wp:posOffset>
                </wp:positionV>
                <wp:extent cx="7559675" cy="436880"/>
                <wp:effectExtent l="0" t="0" r="0" b="0"/>
                <wp:wrapNone/>
                <wp:docPr id="3" name="Text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40" cy="437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CCCC"/>
                            </a:gs>
                            <a:gs pos="100000">
                              <a:srgbClr val="FFFFFF"/>
                            </a:gs>
                          </a:gsLst>
                          <a:lin ang="3600000"/>
                        </a:gradFill>
                        <a:ln w="0">
                          <a:noFill/>
                        </a:ln>
                      </wps:spPr>
                      <wps:txbx>
                        <w:txbxContent>
                          <w:p w:rsidR="003D292C" w:rsidRDefault="003D292C">
                            <w:pPr>
                              <w:spacing w:line="240" w:lineRule="auto"/>
                            </w:pPr>
                          </w:p>
                          <w:p w:rsidR="003D292C" w:rsidRDefault="0022245B" w:rsidP="00D847F7"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Unterlagen per Mail an </w:t>
                            </w:r>
                            <w:hyperlink r:id="rId2" w:history="1">
                              <w:r w:rsidRPr="00D847F7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info@ghg</w:t>
                              </w:r>
                              <w:r w:rsidRPr="00D847F7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D847F7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kanzlei.de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, Upload auf </w:t>
                            </w:r>
                            <w:hyperlink r:id="rId3" w:history="1">
                              <w:r w:rsidRPr="00D847F7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www.ghg-kanzlei.de/briefkasten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oder bei Nutzung von Duo auf </w:t>
                            </w:r>
                            <w:hyperlink r:id="rId4" w:history="1">
                              <w:r w:rsidRPr="00D847F7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duo.datev.de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ahmen 2" o:spid="_x0000_s1028" type="#_x0000_t202" style="position:absolute;margin-left:-70.85pt;margin-top:10.15pt;width:595.25pt;height:34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" fillcolor="#ccc" stroked="f" strokeweight="0">
                <v:fill angle="30" focus="100%" type="gradient">
                  <o:fill v:ext="view" type="gradientUnscaled"/>
                </v:fill>
                <v:textbox inset="0,0,0,0">
                  <w:txbxContent>
                    <w:p w:rsidR="003D292C" w:rsidRDefault="003D292C">
                      <w:pPr>
                        <w:spacing w:line="240" w:lineRule="auto"/>
                      </w:pPr>
                    </w:p>
                    <w:p w:rsidR="003D292C" w:rsidRDefault="0022245B" w:rsidP="00D847F7">
                      <w:pPr>
                        <w:spacing w:line="240" w:lineRule="auto"/>
                        <w:jc w:val="both"/>
                      </w:pPr>
                      <w:r>
                        <w:rPr>
                          <w:rFonts w:ascii="Arial" w:hAnsi="Arial"/>
                          <w:sz w:val="21"/>
                          <w:szCs w:val="21"/>
                        </w:rPr>
                        <w:t xml:space="preserve">         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Unterlagen per Mail an </w:t>
                      </w:r>
                      <w:hyperlink r:id="rId5" w:history="1">
                        <w:r w:rsidRPr="00D847F7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info@ghg</w:t>
                        </w:r>
                        <w:r w:rsidRPr="00D847F7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-</w:t>
                        </w:r>
                        <w:r w:rsidRPr="00D847F7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kanzlei.de</w:t>
                        </w:r>
                      </w:hyperlink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, Upload auf </w:t>
                      </w:r>
                      <w:hyperlink r:id="rId6" w:history="1">
                        <w:r w:rsidRPr="00D847F7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www.ghg-kanzlei.de/briefkasten</w:t>
                        </w:r>
                      </w:hyperlink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oder bei Nutzung von Duo auf </w:t>
                      </w:r>
                      <w:hyperlink r:id="rId7" w:history="1">
                        <w:r w:rsidRPr="00D847F7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duo.datev.de</w:t>
                        </w:r>
                      </w:hyperlink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245B" w:rsidRDefault="0022245B">
      <w:pPr>
        <w:spacing w:line="240" w:lineRule="auto"/>
      </w:pPr>
      <w:r>
        <w:separator/>
      </w:r>
    </w:p>
  </w:footnote>
  <w:footnote w:type="continuationSeparator" w:id="0">
    <w:p w:rsidR="0022245B" w:rsidRDefault="00222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292C" w:rsidRDefault="00D847F7">
    <w:pPr>
      <w:pStyle w:val="Kopfzeile"/>
      <w:tabs>
        <w:tab w:val="left" w:pos="1133"/>
      </w:tabs>
      <w:jc w:val="center"/>
      <w:rPr>
        <w:rFonts w:ascii="Arial" w:hAnsi="Arial" w:cs="Arial"/>
        <w:color w:val="404040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-440055</wp:posOffset>
              </wp:positionV>
              <wp:extent cx="6486525" cy="506095"/>
              <wp:effectExtent l="0" t="0" r="9525" b="825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0609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2">
                              <a:lumMod val="75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47F7" w:rsidRPr="00D847F7" w:rsidRDefault="00D847F7" w:rsidP="00D847F7">
                          <w:pPr>
                            <w:ind w:left="851"/>
                            <w:rPr>
                              <w:rFonts w:asciiTheme="majorHAnsi" w:hAnsiTheme="majorHAnsi" w:cstheme="majorHAnsi"/>
                            </w:rPr>
                          </w:pPr>
                          <w:r w:rsidRPr="00D847F7">
                            <w:rPr>
                              <w:rFonts w:asciiTheme="majorHAnsi" w:hAnsiTheme="majorHAnsi" w:cstheme="majorHAnsi"/>
                            </w:rPr>
                            <w:t xml:space="preserve">Monats-Checkliste </w:t>
                          </w:r>
                          <w:proofErr w:type="spellStart"/>
                          <w:r w:rsidRPr="00D847F7">
                            <w:rPr>
                              <w:rFonts w:asciiTheme="majorHAnsi" w:hAnsiTheme="majorHAnsi" w:cstheme="majorHAnsi"/>
                            </w:rPr>
                            <w:t>Fibu</w:t>
                          </w:r>
                          <w:proofErr w:type="spellEnd"/>
                          <w:r w:rsidRPr="00D847F7">
                            <w:rPr>
                              <w:rFonts w:asciiTheme="majorHAnsi" w:hAnsiTheme="majorHAnsi" w:cstheme="majorHAnsi"/>
                            </w:rPr>
                            <w:t>-Unterlagen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0.85pt;margin-top:-34.65pt;width:510.75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" fillcolor="#aeaaaa [2414]" stroked="f">
              <v:fill color2="white [3212]" rotate="t" angle="90" focus="100%" type="gradient"/>
              <v:textbox>
                <w:txbxContent>
                  <w:p w:rsidR="00D847F7" w:rsidRPr="00D847F7" w:rsidRDefault="00D847F7" w:rsidP="00D847F7">
                    <w:pPr>
                      <w:ind w:left="851"/>
                      <w:rPr>
                        <w:rFonts w:asciiTheme="majorHAnsi" w:hAnsiTheme="majorHAnsi" w:cstheme="majorHAnsi"/>
                      </w:rPr>
                    </w:pPr>
                    <w:r w:rsidRPr="00D847F7">
                      <w:rPr>
                        <w:rFonts w:asciiTheme="majorHAnsi" w:hAnsiTheme="majorHAnsi" w:cstheme="majorHAnsi"/>
                      </w:rPr>
                      <w:t xml:space="preserve">Monats-Checkliste </w:t>
                    </w:r>
                    <w:proofErr w:type="spellStart"/>
                    <w:r w:rsidRPr="00D847F7">
                      <w:rPr>
                        <w:rFonts w:asciiTheme="majorHAnsi" w:hAnsiTheme="majorHAnsi" w:cstheme="majorHAnsi"/>
                      </w:rPr>
                      <w:t>Fibu</w:t>
                    </w:r>
                    <w:proofErr w:type="spellEnd"/>
                    <w:r w:rsidRPr="00D847F7">
                      <w:rPr>
                        <w:rFonts w:asciiTheme="majorHAnsi" w:hAnsiTheme="majorHAnsi" w:cstheme="majorHAnsi"/>
                      </w:rPr>
                      <w:t>-Unterlagen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245B"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ge">
            <wp:posOffset>71755</wp:posOffset>
          </wp:positionV>
          <wp:extent cx="683895" cy="439420"/>
          <wp:effectExtent l="0" t="0" r="0" b="0"/>
          <wp:wrapNone/>
          <wp:docPr id="1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245B"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-877570</wp:posOffset>
              </wp:positionV>
              <wp:extent cx="6366510" cy="436880"/>
              <wp:effectExtent l="0" t="0" r="0" b="0"/>
              <wp:wrapThrough wrapText="righ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rahm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6600" cy="4370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CCCCC"/>
                          </a:gs>
                          <a:gs pos="100000">
                            <a:srgbClr val="FFFFFF"/>
                          </a:gs>
                        </a:gsLst>
                        <a:lin ang="3600000"/>
                      </a:gradFill>
                      <a:ln w="0">
                        <a:noFill/>
                      </a:ln>
                    </wps:spPr>
                    <wps:txbx>
                      <w:txbxContent>
                        <w:p w:rsidR="003D292C" w:rsidRDefault="003D292C">
                          <w:pPr>
                            <w:spacing w:line="240" w:lineRule="auto"/>
                          </w:pPr>
                        </w:p>
                        <w:p w:rsidR="003D292C" w:rsidRDefault="0022245B">
                          <w:pPr>
                            <w:spacing w:line="240" w:lineRule="auto"/>
                          </w:pPr>
                          <w:r>
                            <w:rPr>
                              <w:rFonts w:ascii="Arial" w:hAnsi="Arial"/>
                            </w:rPr>
                            <w:t xml:space="preserve">Monats-Checkliste </w:t>
                          </w:r>
                          <w:proofErr w:type="spellStart"/>
                          <w:r>
                            <w:rPr>
                              <w:rFonts w:ascii="Arial" w:hAnsi="Arial"/>
                            </w:rPr>
                            <w:t>Fibu</w:t>
                          </w:r>
                          <w:proofErr w:type="spellEnd"/>
                          <w:r>
                            <w:rPr>
                              <w:rFonts w:ascii="Arial" w:hAnsi="Arial"/>
                            </w:rPr>
                            <w:t xml:space="preserve">-Unterlagen 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Textrahmen 1" fillcolor="#cccccc" stroked="f" o:allowincell="f" style="position:absolute;margin-left:-70.85pt;margin-top:-69.1pt;width:501.25pt;height:34.35pt;mso-wrap-style:square;v-text-anchor:top" type="_x0000_t202">
              <v:textbox>
                <w:txbxContent>
                  <w:p>
                    <w:pPr>
                      <w:spacing w:lineRule="auto" w:line="240"/>
                      <w:rPr/>
                    </w:pPr>
                    <w:r>
                      <w:rPr/>
                    </w:r>
                  </w:p>
                  <w:p>
                    <w:pPr>
                      <w:spacing w:lineRule="auto" w:line="240"/>
                      <w:rPr/>
                    </w:pPr>
                    <w:r>
                      <w:rPr>
                        <w:rFonts w:ascii="Arial" w:hAnsi="Arial"/>
                      </w:rPr>
                    </w:r>
                    <w:r>
                      <w:rPr>
                        <w:rFonts w:ascii="Arial" w:hAnsi="Arial"/>
                      </w:rPr>
                    </w:r>
                    <w:r>
                      <w:rPr>
                        <w:rFonts w:ascii="Arial" w:hAnsi="Arial"/>
                      </w:rPr>
                      <w:t xml:space="preserve">Monats-Checkliste Fibu-Unterlagen </w:t>
                    </w:r>
                  </w:p>
                </w:txbxContent>
              </v:textbox>
              <v:fill o:detectmouseclick="t" color2="white"/>
              <v:stroke color="black" joinstyle="round" endcap="flat"/>
              <w10:wrap type="square" side="right"/>
            </v:shape>
          </w:pict>
        </mc:Fallback>
      </mc:AlternateContent>
    </w:r>
    <w:r w:rsidR="0022245B">
      <w:fldChar w:fldCharType="begin"/>
    </w:r>
    <w:r w:rsidR="0022245B">
      <w:instrText>vnd.oasis.opendocument.field.UNHANDLED</w:instrText>
    </w:r>
    <w:r w:rsidR="0022245B">
      <w:fldChar w:fldCharType="separate"/>
    </w:r>
    <w:r w:rsidR="0022245B">
      <w:fldChar w:fldCharType="end"/>
    </w:r>
    <w:r w:rsidR="0022245B">
      <w:fldChar w:fldCharType="begin"/>
    </w:r>
    <w:r w:rsidR="0022245B">
      <w:instrText>vnd.oasis.opendocument.field.UNHANDLED</w:instrText>
    </w:r>
    <w:r w:rsidR="0022245B">
      <w:fldChar w:fldCharType="separate"/>
    </w:r>
    <w:r w:rsidR="0022245B">
      <w:fldChar w:fldCharType="end"/>
    </w:r>
    <w:r w:rsidR="0022245B">
      <w:fldChar w:fldCharType="begin"/>
    </w:r>
    <w:r w:rsidR="0022245B">
      <w:instrText>vnd.oasis.opendocument.field.UNHANDLED</w:instrText>
    </w:r>
    <w:r w:rsidR="0022245B">
      <w:fldChar w:fldCharType="separate"/>
    </w:r>
    <w:r w:rsidR="002224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11D3"/>
    <w:multiLevelType w:val="multilevel"/>
    <w:tmpl w:val="E7A4395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674AC"/>
    <w:multiLevelType w:val="multilevel"/>
    <w:tmpl w:val="7C7867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23694608">
    <w:abstractNumId w:val="0"/>
  </w:num>
  <w:num w:numId="2" w16cid:durableId="42076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57" w:val="MS Word"/>
  </w:docVars>
  <w:rsids>
    <w:rsidRoot w:val="003D292C"/>
    <w:rsid w:val="0022245B"/>
    <w:rsid w:val="003D292C"/>
    <w:rsid w:val="00D847F7"/>
    <w:rsid w:val="00E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8AA61"/>
  <w15:docId w15:val="{3DCFEC2F-6141-482D-850D-7B7B9689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qFormat/>
  </w:style>
  <w:style w:type="character" w:customStyle="1" w:styleId="FuzeileZchn">
    <w:name w:val="Fußzeile Zchn"/>
    <w:basedOn w:val="Absatz-Standardschriftart"/>
    <w:link w:val="Fuzeile"/>
    <w:qFormat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BesuchterLink">
    <w:name w:val="FollowedHyperlink"/>
    <w:rPr>
      <w:color w:val="80000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Arial" w:hAnsi="Arial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spacing w:line="240" w:lineRule="auto"/>
    </w:pPr>
  </w:style>
  <w:style w:type="paragraph" w:customStyle="1" w:styleId="Rahmeninhalt">
    <w:name w:val="Rahmeninhalt"/>
    <w:basedOn w:val="Standard"/>
    <w:qFormat/>
  </w:style>
  <w:style w:type="paragraph" w:customStyle="1" w:styleId="Listeninhalt">
    <w:name w:val="Listeninhalt"/>
    <w:basedOn w:val="Standard"/>
    <w:qFormat/>
    <w:pPr>
      <w:ind w:left="567"/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www.ghg-kanzlei.de/briefkasten" TargetMode="External"/><Relationship Id="rId7" Type="http://schemas.openxmlformats.org/officeDocument/2006/relationships/hyperlink" Target="duo.datev.de" TargetMode="External"/><Relationship Id="rId2" Type="http://schemas.openxmlformats.org/officeDocument/2006/relationships/hyperlink" Target="mailto:info@ghg-kanzlei.de" TargetMode="External"/><Relationship Id="rId1" Type="http://schemas.openxmlformats.org/officeDocument/2006/relationships/hyperlink" Target="http://duo.datev.de/" TargetMode="External"/><Relationship Id="rId6" Type="http://schemas.openxmlformats.org/officeDocument/2006/relationships/hyperlink" Target="www.ghg-kanzlei.de/briefkasten" TargetMode="External"/><Relationship Id="rId5" Type="http://schemas.openxmlformats.org/officeDocument/2006/relationships/hyperlink" Target="mailto:info@ghg-kanzlei.de" TargetMode="External"/><Relationship Id="rId4" Type="http://schemas.openxmlformats.org/officeDocument/2006/relationships/hyperlink" Target="duo.date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Holger Heckes</cp:lastModifiedBy>
  <cp:revision>3</cp:revision>
  <dcterms:created xsi:type="dcterms:W3CDTF">2024-07-06T15:59:00Z</dcterms:created>
  <dcterms:modified xsi:type="dcterms:W3CDTF">2024-07-06T16:06:00Z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2024-07-05T11:32:00Z</dcterms:created>
  <dc:creator>Heckes, Holger</dc:creator>
  <dc:description/>
  <dc:language>de-DE</dc:language>
  <cp:lastModifiedBy/>
  <cp:lastPrinted>2024-07-05T19:00:25Z</cp:lastPrinted>
  <dcterms:modified xsi:type="dcterms:W3CDTF">2024-07-06T10:40:17Z</dcterms:modified>
  <cp:revision>15</cp:revision>
  <dc:subject/>
  <dc:title/>
</cp:coreProperties>
</file>